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C1" w:rsidRDefault="00F102C0">
      <w:pPr>
        <w:spacing w:before="240" w:line="1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ITA-NOA</w:t>
      </w:r>
    </w:p>
    <w:p w:rsidR="00715DC1" w:rsidRDefault="007340BE">
      <w:r>
        <w:pict w14:anchorId="10267304">
          <v:rect id="_x0000_i1025" style="width:0;height:1.5pt" o:hralign="center" o:hrstd="t" o:hr="t" fillcolor="#a0a0a0" stroked="f"/>
        </w:pict>
      </w:r>
    </w:p>
    <w:p w:rsidR="00715DC1" w:rsidRDefault="00715DC1">
      <w:pPr>
        <w:pStyle w:val="Ttulo1"/>
        <w:keepNext w:val="0"/>
        <w:keepLines w:val="0"/>
        <w:spacing w:before="0"/>
        <w:rPr>
          <w:b/>
          <w:sz w:val="24"/>
          <w:szCs w:val="24"/>
          <w:shd w:val="clear" w:color="auto" w:fill="CCCCCC"/>
        </w:rPr>
      </w:pPr>
      <w:bookmarkStart w:id="0" w:name="_i9jmafpvo1vq" w:colFirst="0" w:colLast="0"/>
      <w:bookmarkEnd w:id="0"/>
    </w:p>
    <w:tbl>
      <w:tblPr>
        <w:tblStyle w:val="a"/>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Datos básicos</w:t>
            </w:r>
          </w:p>
        </w:tc>
      </w:tr>
    </w:tbl>
    <w:p w:rsidR="00715DC1" w:rsidRDefault="00F102C0">
      <w:pPr>
        <w:pStyle w:val="Ttulo1"/>
        <w:keepNext w:val="0"/>
        <w:keepLines w:val="0"/>
        <w:spacing w:before="0" w:after="0"/>
        <w:rPr>
          <w:b/>
          <w:sz w:val="24"/>
          <w:szCs w:val="24"/>
          <w:shd w:val="clear" w:color="auto" w:fill="CCCCCC"/>
        </w:rPr>
      </w:pPr>
      <w:bookmarkStart w:id="1" w:name="_lx9y2zoq9kgk" w:colFirst="0" w:colLast="0"/>
      <w:bookmarkEnd w:id="1"/>
      <w:r>
        <w:rPr>
          <w:b/>
          <w:sz w:val="24"/>
          <w:szCs w:val="24"/>
          <w:shd w:val="clear" w:color="auto" w:fill="CCCCCC"/>
        </w:rPr>
        <w:t xml:space="preserve">       </w:t>
      </w:r>
    </w:p>
    <w:p w:rsidR="00715DC1" w:rsidRDefault="00F102C0">
      <w:pPr>
        <w:spacing w:after="140"/>
        <w:ind w:left="2976" w:right="800" w:hanging="2834"/>
      </w:pPr>
      <w:r>
        <w:t xml:space="preserve">Unidad Ejecutora: </w:t>
      </w:r>
      <w:r>
        <w:tab/>
        <w:t>Instituto de Tecnología Agroindustrial del Noroeste Argentino</w:t>
      </w:r>
    </w:p>
    <w:p w:rsidR="00715DC1" w:rsidRDefault="00F102C0">
      <w:pPr>
        <w:spacing w:before="240" w:after="140"/>
        <w:ind w:left="140" w:right="800"/>
      </w:pPr>
      <w:r>
        <w:t xml:space="preserve">Director Actual: </w:t>
      </w:r>
      <w:r>
        <w:tab/>
      </w:r>
      <w:r>
        <w:tab/>
        <w:t>Dr. Atilio Pedro Castagnaro</w:t>
      </w:r>
      <w:bookmarkStart w:id="2" w:name="_GoBack"/>
      <w:bookmarkEnd w:id="2"/>
    </w:p>
    <w:p w:rsidR="00715DC1" w:rsidRDefault="00F102C0">
      <w:pPr>
        <w:ind w:left="140" w:right="800"/>
      </w:pPr>
      <w:r>
        <w:t xml:space="preserve">Domicilio: </w:t>
      </w:r>
      <w:r>
        <w:tab/>
      </w:r>
      <w:r>
        <w:tab/>
      </w:r>
      <w:r>
        <w:tab/>
        <w:t xml:space="preserve">Av. William Cross 3150 </w:t>
      </w:r>
    </w:p>
    <w:p w:rsidR="00715DC1" w:rsidRDefault="00F102C0">
      <w:pPr>
        <w:spacing w:before="240" w:after="140"/>
        <w:ind w:left="140" w:right="800"/>
      </w:pPr>
      <w:r>
        <w:t xml:space="preserve">Código Postal: </w:t>
      </w:r>
      <w:r>
        <w:tab/>
      </w:r>
      <w:r>
        <w:tab/>
        <w:t>T4101XAC</w:t>
      </w:r>
    </w:p>
    <w:p w:rsidR="00715DC1" w:rsidRDefault="00F102C0">
      <w:pPr>
        <w:spacing w:before="240" w:after="140"/>
        <w:ind w:left="140" w:right="800"/>
      </w:pPr>
      <w:r>
        <w:t xml:space="preserve">Localidad: </w:t>
      </w:r>
      <w:r>
        <w:tab/>
      </w:r>
      <w:r>
        <w:tab/>
      </w:r>
      <w:r>
        <w:tab/>
        <w:t>San Miguel de Tucumán (</w:t>
      </w:r>
      <w:proofErr w:type="spellStart"/>
      <w:r>
        <w:t>Est</w:t>
      </w:r>
      <w:proofErr w:type="spellEnd"/>
      <w:r>
        <w:t>. Tucumán)</w:t>
      </w:r>
    </w:p>
    <w:p w:rsidR="00715DC1" w:rsidRDefault="00F102C0">
      <w:pPr>
        <w:spacing w:before="240" w:after="140"/>
        <w:ind w:left="140" w:right="800"/>
      </w:pPr>
      <w:r>
        <w:t xml:space="preserve">Teléfono: </w:t>
      </w:r>
      <w:r>
        <w:tab/>
      </w:r>
      <w:r>
        <w:tab/>
      </w:r>
      <w:r>
        <w:tab/>
        <w:t xml:space="preserve">+ (0381) 452-1000 </w:t>
      </w:r>
      <w:proofErr w:type="spellStart"/>
      <w:r>
        <w:t>int</w:t>
      </w:r>
      <w:proofErr w:type="spellEnd"/>
      <w:r>
        <w:t>: 200</w:t>
      </w:r>
    </w:p>
    <w:p w:rsidR="00715DC1" w:rsidRDefault="00F102C0">
      <w:pPr>
        <w:spacing w:before="240" w:after="140"/>
        <w:ind w:left="140" w:right="800"/>
        <w:rPr>
          <w:rFonts w:ascii="Roboto" w:eastAsia="Roboto" w:hAnsi="Roboto" w:cs="Roboto"/>
          <w:b/>
          <w:color w:val="0053A2"/>
          <w:sz w:val="24"/>
          <w:szCs w:val="24"/>
          <w:highlight w:val="white"/>
        </w:rPr>
      </w:pPr>
      <w:r>
        <w:t xml:space="preserve">Correo electrónico: </w:t>
      </w:r>
      <w:r>
        <w:tab/>
      </w:r>
      <w:r>
        <w:tab/>
      </w:r>
      <w:r w:rsidR="00163585" w:rsidRPr="00163585">
        <w:t>atiliocastagnaro@gmail.com</w:t>
      </w:r>
      <w:r>
        <w:t xml:space="preserve"> / </w:t>
      </w:r>
      <w:r w:rsidR="00163585" w:rsidRPr="00163585">
        <w:t>info.itanoa@gmail.com</w:t>
      </w:r>
    </w:p>
    <w:p w:rsidR="00715DC1" w:rsidRDefault="00F102C0">
      <w:pPr>
        <w:spacing w:before="240" w:after="140"/>
        <w:ind w:left="140" w:right="800"/>
        <w:rPr>
          <w:rFonts w:ascii="Roboto" w:eastAsia="Roboto" w:hAnsi="Roboto" w:cs="Roboto"/>
          <w:b/>
          <w:color w:val="0053A2"/>
          <w:sz w:val="24"/>
          <w:szCs w:val="24"/>
          <w:highlight w:val="white"/>
        </w:rPr>
      </w:pPr>
      <w:r>
        <w:t>Página web:</w:t>
      </w:r>
      <w:r>
        <w:tab/>
      </w:r>
      <w:r>
        <w:tab/>
      </w:r>
      <w:r>
        <w:tab/>
        <w:t xml:space="preserve">https://itanoa.conicet.gov.ar/ </w:t>
      </w:r>
    </w:p>
    <w:tbl>
      <w:tblPr>
        <w:tblStyle w:val="a0"/>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Gran Área del Conocimiento</w:t>
            </w:r>
          </w:p>
        </w:tc>
      </w:tr>
    </w:tbl>
    <w:p w:rsidR="00715DC1" w:rsidRDefault="00F102C0">
      <w:pPr>
        <w:spacing w:before="240" w:after="140" w:line="240" w:lineRule="auto"/>
        <w:ind w:right="800"/>
      </w:pPr>
      <w:r>
        <w:t>Ciencias Agrarias, Ingeniería y de Materiales - KA</w:t>
      </w:r>
    </w:p>
    <w:p w:rsidR="00715DC1" w:rsidRDefault="00715DC1">
      <w:pPr>
        <w:spacing w:line="240" w:lineRule="auto"/>
        <w:ind w:right="800"/>
      </w:pPr>
    </w:p>
    <w:tbl>
      <w:tblPr>
        <w:tblStyle w:val="a1"/>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Disciplinas</w:t>
            </w:r>
          </w:p>
        </w:tc>
      </w:tr>
    </w:tbl>
    <w:p w:rsidR="00715DC1" w:rsidRDefault="00F102C0">
      <w:pPr>
        <w:numPr>
          <w:ilvl w:val="0"/>
          <w:numId w:val="1"/>
        </w:numPr>
        <w:spacing w:before="200"/>
        <w:ind w:right="800"/>
      </w:pPr>
      <w:r>
        <w:t>Biotecnología Agropecuaria</w:t>
      </w:r>
    </w:p>
    <w:p w:rsidR="00715DC1" w:rsidRDefault="00F102C0">
      <w:pPr>
        <w:numPr>
          <w:ilvl w:val="0"/>
          <w:numId w:val="2"/>
        </w:numPr>
        <w:pBdr>
          <w:top w:val="nil"/>
          <w:left w:val="nil"/>
          <w:bottom w:val="nil"/>
          <w:right w:val="nil"/>
          <w:between w:val="nil"/>
        </w:pBdr>
        <w:ind w:right="800"/>
      </w:pPr>
      <w:r>
        <w:t>Biotecnología Industrial</w:t>
      </w:r>
    </w:p>
    <w:p w:rsidR="00715DC1" w:rsidRDefault="00F102C0">
      <w:pPr>
        <w:numPr>
          <w:ilvl w:val="0"/>
          <w:numId w:val="2"/>
        </w:numPr>
        <w:pBdr>
          <w:top w:val="nil"/>
          <w:left w:val="nil"/>
          <w:bottom w:val="nil"/>
          <w:right w:val="nil"/>
          <w:between w:val="nil"/>
        </w:pBdr>
        <w:spacing w:after="140"/>
        <w:ind w:right="800"/>
      </w:pPr>
      <w:r>
        <w:t>Otras Ingenierías y Tecnologías</w:t>
      </w:r>
    </w:p>
    <w:p w:rsidR="00715DC1" w:rsidRDefault="00715DC1">
      <w:pPr>
        <w:ind w:right="800"/>
      </w:pPr>
    </w:p>
    <w:tbl>
      <w:tblPr>
        <w:tblStyle w:val="a2"/>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Objetivos generales</w:t>
            </w:r>
          </w:p>
        </w:tc>
      </w:tr>
    </w:tbl>
    <w:p w:rsidR="00715DC1" w:rsidRDefault="00F102C0">
      <w:pPr>
        <w:pStyle w:val="Ttulo1"/>
        <w:keepNext w:val="0"/>
        <w:keepLines w:val="0"/>
        <w:shd w:val="clear" w:color="auto" w:fill="F9F9F9"/>
        <w:spacing w:before="200" w:after="160"/>
        <w:rPr>
          <w:sz w:val="22"/>
          <w:szCs w:val="22"/>
        </w:rPr>
      </w:pPr>
      <w:r>
        <w:rPr>
          <w:sz w:val="22"/>
          <w:szCs w:val="22"/>
        </w:rPr>
        <w:t>El ITANOA se ve asimismo como una institución de dependencia compartida con el Conicet, que aprovecha la pertinencia de la EEAOC dada por su inserción en el medio productivo desde su génesis, sus Programas, sus resultados y en definitiva su Misión, para incorporarle valor agregado a través de la biotecnología en sentido amplio.</w:t>
      </w:r>
    </w:p>
    <w:p w:rsidR="00715DC1" w:rsidRDefault="00F102C0">
      <w:pPr>
        <w:pStyle w:val="Ttulo1"/>
        <w:keepNext w:val="0"/>
        <w:keepLines w:val="0"/>
        <w:shd w:val="clear" w:color="auto" w:fill="F9F9F9"/>
        <w:spacing w:before="0" w:after="160"/>
        <w:rPr>
          <w:rFonts w:ascii="Roboto" w:eastAsia="Roboto" w:hAnsi="Roboto" w:cs="Roboto"/>
          <w:color w:val="111111"/>
          <w:sz w:val="24"/>
          <w:szCs w:val="24"/>
        </w:rPr>
      </w:pPr>
      <w:bookmarkStart w:id="3" w:name="_915a39917cvk" w:colFirst="0" w:colLast="0"/>
      <w:bookmarkEnd w:id="3"/>
      <w:r>
        <w:rPr>
          <w:sz w:val="22"/>
          <w:szCs w:val="22"/>
        </w:rPr>
        <w:t>El ITANOA tiene por objetivo contribuir al desarrollo sostenible en términos sociales, ambientales y económicos, a través del avance en el conocimiento y el desarrollo de tecnologías que mejoren la productividad, la sanidad, el procesamiento y la prospectiva industrial de cultivos y biomasa vegetal.</w:t>
      </w:r>
    </w:p>
    <w:p w:rsidR="00715DC1" w:rsidRDefault="00715DC1">
      <w:pPr>
        <w:pStyle w:val="Ttulo1"/>
        <w:keepNext w:val="0"/>
        <w:keepLines w:val="0"/>
        <w:spacing w:before="0" w:after="0"/>
        <w:rPr>
          <w:sz w:val="24"/>
          <w:szCs w:val="24"/>
          <w:shd w:val="clear" w:color="auto" w:fill="CCCCCC"/>
        </w:rPr>
      </w:pPr>
      <w:bookmarkStart w:id="4" w:name="_wfej04fcf6l4" w:colFirst="0" w:colLast="0"/>
      <w:bookmarkEnd w:id="4"/>
    </w:p>
    <w:tbl>
      <w:tblPr>
        <w:tblStyle w:val="a3"/>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Líneas de investigación</w:t>
            </w:r>
          </w:p>
        </w:tc>
      </w:tr>
    </w:tbl>
    <w:p w:rsidR="00715DC1" w:rsidRDefault="00F102C0">
      <w:pPr>
        <w:numPr>
          <w:ilvl w:val="0"/>
          <w:numId w:val="2"/>
        </w:numPr>
        <w:spacing w:before="240"/>
        <w:ind w:right="800"/>
      </w:pPr>
      <w:proofErr w:type="spellStart"/>
      <w:r>
        <w:lastRenderedPageBreak/>
        <w:t>Biorefinería</w:t>
      </w:r>
      <w:proofErr w:type="spellEnd"/>
    </w:p>
    <w:p w:rsidR="00715DC1" w:rsidRDefault="00F102C0">
      <w:pPr>
        <w:numPr>
          <w:ilvl w:val="0"/>
          <w:numId w:val="2"/>
        </w:numPr>
        <w:ind w:right="800"/>
      </w:pPr>
      <w:r>
        <w:t>Biocombustibles</w:t>
      </w:r>
    </w:p>
    <w:p w:rsidR="00715DC1" w:rsidRDefault="00F102C0">
      <w:pPr>
        <w:numPr>
          <w:ilvl w:val="0"/>
          <w:numId w:val="2"/>
        </w:numPr>
        <w:ind w:right="800"/>
      </w:pPr>
      <w:r>
        <w:t>Bases ecológicas y genéticas de las interacciones planta-plagas para el manejo fitosanitario</w:t>
      </w:r>
    </w:p>
    <w:p w:rsidR="00715DC1" w:rsidRDefault="00F102C0">
      <w:pPr>
        <w:numPr>
          <w:ilvl w:val="0"/>
          <w:numId w:val="2"/>
        </w:numPr>
        <w:ind w:right="800"/>
      </w:pPr>
      <w:r>
        <w:t>Transferencia de genes por ingeniería en cultivos de importancia regional</w:t>
      </w:r>
    </w:p>
    <w:p w:rsidR="00715DC1" w:rsidRDefault="00F102C0">
      <w:pPr>
        <w:numPr>
          <w:ilvl w:val="0"/>
          <w:numId w:val="2"/>
        </w:numPr>
        <w:ind w:right="800"/>
      </w:pPr>
      <w:r>
        <w:t>Genética y genómica de cultivos de importancia regional</w:t>
      </w:r>
    </w:p>
    <w:p w:rsidR="00715DC1" w:rsidRDefault="00F102C0">
      <w:pPr>
        <w:numPr>
          <w:ilvl w:val="0"/>
          <w:numId w:val="2"/>
        </w:numPr>
        <w:spacing w:after="140"/>
        <w:ind w:right="800"/>
      </w:pPr>
      <w:proofErr w:type="spellStart"/>
      <w:r>
        <w:t>Bioinsumos</w:t>
      </w:r>
      <w:proofErr w:type="spellEnd"/>
    </w:p>
    <w:tbl>
      <w:tblPr>
        <w:tblStyle w:val="a4"/>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Infraestructura edilicia</w:t>
            </w:r>
          </w:p>
        </w:tc>
      </w:tr>
    </w:tbl>
    <w:p w:rsidR="00715DC1" w:rsidRDefault="00F102C0">
      <w:pPr>
        <w:spacing w:before="240"/>
        <w:ind w:right="800"/>
      </w:pPr>
      <w:r>
        <w:t>Total m² construido: 23768</w:t>
      </w:r>
    </w:p>
    <w:p w:rsidR="00715DC1" w:rsidRDefault="00F102C0">
      <w:pPr>
        <w:spacing w:before="240"/>
        <w:ind w:right="800"/>
        <w:rPr>
          <w:sz w:val="24"/>
          <w:szCs w:val="24"/>
        </w:rPr>
      </w:pPr>
      <w:r>
        <w:t>Total m² terreno: 830366</w:t>
      </w:r>
    </w:p>
    <w:p w:rsidR="00715DC1" w:rsidRDefault="00715DC1">
      <w:pPr>
        <w:pStyle w:val="Ttulo1"/>
        <w:keepNext w:val="0"/>
        <w:keepLines w:val="0"/>
        <w:spacing w:before="0"/>
        <w:rPr>
          <w:b/>
          <w:sz w:val="24"/>
          <w:szCs w:val="24"/>
          <w:shd w:val="clear" w:color="auto" w:fill="CCCCCC"/>
        </w:rPr>
      </w:pPr>
      <w:bookmarkStart w:id="5" w:name="_5cwnym1h0j80" w:colFirst="0" w:colLast="0"/>
      <w:bookmarkEnd w:id="5"/>
    </w:p>
    <w:tbl>
      <w:tblPr>
        <w:tblStyle w:val="a5"/>
        <w:tblW w:w="902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715DC1">
        <w:tc>
          <w:tcPr>
            <w:tcW w:w="9029" w:type="dxa"/>
            <w:shd w:val="clear" w:color="auto" w:fill="D9D9D9"/>
            <w:tcMar>
              <w:top w:w="100" w:type="dxa"/>
              <w:left w:w="100" w:type="dxa"/>
              <w:bottom w:w="100" w:type="dxa"/>
              <w:right w:w="100" w:type="dxa"/>
            </w:tcMar>
          </w:tcPr>
          <w:p w:rsidR="00715DC1" w:rsidRDefault="00F102C0">
            <w:pPr>
              <w:widowControl w:val="0"/>
              <w:spacing w:line="240" w:lineRule="auto"/>
              <w:rPr>
                <w:b/>
                <w:sz w:val="24"/>
                <w:szCs w:val="24"/>
              </w:rPr>
            </w:pPr>
            <w:r>
              <w:rPr>
                <w:b/>
                <w:sz w:val="24"/>
                <w:szCs w:val="24"/>
              </w:rPr>
              <w:t>Recursos humanos (según Memoria 2022)</w:t>
            </w:r>
          </w:p>
        </w:tc>
      </w:tr>
    </w:tbl>
    <w:p w:rsidR="00715DC1" w:rsidRDefault="00F102C0">
      <w:pPr>
        <w:spacing w:before="240"/>
        <w:ind w:right="800"/>
      </w:pPr>
      <w:r>
        <w:t>Personal de la Unidad Ejecutora. Total: 60</w:t>
      </w:r>
    </w:p>
    <w:p w:rsidR="00715DC1" w:rsidRDefault="00F102C0">
      <w:pPr>
        <w:spacing w:before="240"/>
        <w:ind w:right="800"/>
      </w:pPr>
      <w:r>
        <w:t>Investigadores CONICET: 10</w:t>
      </w:r>
    </w:p>
    <w:p w:rsidR="00715DC1" w:rsidRDefault="00F102C0">
      <w:pPr>
        <w:spacing w:before="240"/>
        <w:ind w:right="800"/>
      </w:pPr>
      <w:r>
        <w:t>CONICET Contratados: -</w:t>
      </w:r>
    </w:p>
    <w:p w:rsidR="00715DC1" w:rsidRDefault="00F102C0">
      <w:pPr>
        <w:spacing w:before="240"/>
        <w:ind w:right="800"/>
      </w:pPr>
      <w:r>
        <w:t>Becarios CONICET: 15</w:t>
      </w:r>
    </w:p>
    <w:p w:rsidR="00715DC1" w:rsidRDefault="00F102C0">
      <w:pPr>
        <w:spacing w:before="240"/>
        <w:ind w:right="800"/>
      </w:pPr>
      <w:r>
        <w:t>Contratado No CONICET: 19</w:t>
      </w:r>
    </w:p>
    <w:p w:rsidR="00715DC1" w:rsidRDefault="00F102C0">
      <w:pPr>
        <w:spacing w:before="240"/>
        <w:ind w:right="800"/>
      </w:pPr>
      <w:r>
        <w:t>Personal de Apoyo CONICET: 15</w:t>
      </w:r>
    </w:p>
    <w:p w:rsidR="00715DC1" w:rsidRDefault="00F102C0">
      <w:pPr>
        <w:spacing w:before="240"/>
        <w:ind w:right="800"/>
      </w:pPr>
      <w:r>
        <w:t>Otras categorías CONICET</w:t>
      </w:r>
      <w:r>
        <w:rPr>
          <w:sz w:val="20"/>
          <w:szCs w:val="20"/>
        </w:rPr>
        <w:t>: 1</w:t>
      </w:r>
    </w:p>
    <w:p w:rsidR="00715DC1" w:rsidRDefault="00715DC1"/>
    <w:sectPr w:rsidR="00715D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61BD"/>
    <w:multiLevelType w:val="multilevel"/>
    <w:tmpl w:val="9ABED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54EE3"/>
    <w:multiLevelType w:val="multilevel"/>
    <w:tmpl w:val="433E2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C1"/>
    <w:rsid w:val="000278B3"/>
    <w:rsid w:val="00163585"/>
    <w:rsid w:val="00715DC1"/>
    <w:rsid w:val="007340BE"/>
    <w:rsid w:val="00F102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A1D5E87-4873-4AA5-B725-9E0BE0F3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6358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85B4A2D4</Template>
  <TotalTime>1</TotalTime>
  <Pages>2</Pages>
  <Words>288</Words>
  <Characters>1584</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Pawliska</dc:creator>
  <cp:lastModifiedBy>Andrea Maria Pawliska</cp:lastModifiedBy>
  <cp:revision>2</cp:revision>
  <dcterms:created xsi:type="dcterms:W3CDTF">2023-09-11T12:40:00Z</dcterms:created>
  <dcterms:modified xsi:type="dcterms:W3CDTF">2023-09-11T12:40:00Z</dcterms:modified>
</cp:coreProperties>
</file>